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AFB8" w14:textId="774DD490" w:rsidR="3537FB59" w:rsidRDefault="3537FB59" w:rsidP="3537FB59">
      <w:pPr>
        <w:spacing w:line="240" w:lineRule="auto"/>
        <w:ind w:left="1140" w:right="1120"/>
        <w:jc w:val="center"/>
        <w:rPr>
          <w:b/>
          <w:bCs/>
          <w:highlight w:val="white"/>
        </w:rPr>
      </w:pPr>
    </w:p>
    <w:p w14:paraId="31236918" w14:textId="2450A0AE" w:rsidR="00EC1BAB" w:rsidRDefault="284F1A4F" w:rsidP="3537FB59">
      <w:pPr>
        <w:spacing w:line="240" w:lineRule="auto"/>
        <w:jc w:val="center"/>
        <w:rPr>
          <w:b/>
          <w:bCs/>
          <w:highlight w:val="white"/>
        </w:rPr>
      </w:pPr>
      <w:r w:rsidRPr="3537FB59">
        <w:rPr>
          <w:b/>
          <w:bCs/>
          <w:highlight w:val="white"/>
        </w:rPr>
        <w:t>ORIENTAÇÃOS PARA PARTICIPAÇÃO</w:t>
      </w:r>
    </w:p>
    <w:p w14:paraId="62168C81" w14:textId="6467FDE4" w:rsidR="3537FB59" w:rsidRDefault="3537FB59" w:rsidP="3537FB59">
      <w:pPr>
        <w:spacing w:line="240" w:lineRule="auto"/>
        <w:jc w:val="left"/>
        <w:rPr>
          <w:highlight w:val="white"/>
        </w:rPr>
      </w:pPr>
    </w:p>
    <w:p w14:paraId="14C10F6E" w14:textId="77DBE0B6" w:rsidR="060E901B" w:rsidRDefault="060E901B" w:rsidP="3537FB59">
      <w:pPr>
        <w:spacing w:before="340" w:line="264" w:lineRule="auto"/>
        <w:ind w:right="20" w:firstLine="720"/>
        <w:rPr>
          <w:color w:val="FF0000"/>
        </w:rPr>
      </w:pPr>
      <w:r w:rsidRPr="3537FB59">
        <w:t>Os textos enviados para a 3ª Mostra de Estágio Curricular e Práticas Formativas serão todos na modalidade RESUMO. Os critérios de avaliação da comissão científica incluem o texto submetido estar de acordo com o escopo do evento e de acordo com as normas de submissão. Para submeter o resumo, o texto deve ter entre 250 e 500 palavras, ser escrito em fonte Arial, tamanho 12, justificado. No resumo não devem ser colocados fotos, imagens, gráficos ou similares. Também não devem conter citaçõ</w:t>
      </w:r>
      <w:r w:rsidR="0F728408" w:rsidRPr="3537FB59">
        <w:t xml:space="preserve">es. O </w:t>
      </w:r>
      <w:proofErr w:type="spellStart"/>
      <w:r w:rsidR="0F728408" w:rsidRPr="3537FB59">
        <w:rPr>
          <w:i/>
          <w:iCs/>
        </w:rPr>
        <w:t>template</w:t>
      </w:r>
      <w:proofErr w:type="spellEnd"/>
      <w:r w:rsidR="0F728408" w:rsidRPr="3537FB59">
        <w:t xml:space="preserve"> com as orientações está disponível em: </w:t>
      </w:r>
      <w:r w:rsidR="7F02101F" w:rsidRPr="3537FB59">
        <w:rPr>
          <w:color w:val="FF0000"/>
        </w:rPr>
        <w:t>(link para baixar o arquivo do modelo)</w:t>
      </w:r>
    </w:p>
    <w:p w14:paraId="634AC7F5" w14:textId="7C4F939F" w:rsidR="19B1BDC4" w:rsidRDefault="19B1BDC4" w:rsidP="3537FB59">
      <w:pPr>
        <w:spacing w:before="20" w:line="264" w:lineRule="auto"/>
        <w:ind w:right="20" w:firstLine="740"/>
      </w:pPr>
      <w:r w:rsidRPr="3537FB59">
        <w:t>O modelo de resumo já está nas normas de formatação exigidas. Basta baixar o arquivo e realizar as alterações no texto.</w:t>
      </w:r>
    </w:p>
    <w:p w14:paraId="236509F7" w14:textId="44DD640E" w:rsidR="060E901B" w:rsidRDefault="060E901B" w:rsidP="3537FB59">
      <w:pPr>
        <w:spacing w:before="20" w:line="264" w:lineRule="auto"/>
        <w:ind w:firstLine="720"/>
      </w:pPr>
      <w:r w:rsidRPr="3537FB59">
        <w:t>São permitidos até, no máximo, 04 autores por resumo, sendo um deles obrigatoriamente o(a) orientador(a) de estágio. Em nota de rodapé, colocar o curso e o e-mail de contato dos autores.</w:t>
      </w:r>
    </w:p>
    <w:p w14:paraId="08F2ECAB" w14:textId="5D6ED32A" w:rsidR="060E901B" w:rsidRDefault="060E901B" w:rsidP="3537FB59">
      <w:pPr>
        <w:spacing w:before="20" w:line="264" w:lineRule="auto"/>
        <w:ind w:right="20" w:firstLine="740"/>
      </w:pPr>
      <w:r w:rsidRPr="3537FB59">
        <w:t xml:space="preserve">Para entrar em contato com a equipe organizadora do evento, mande e-mail para </w:t>
      </w:r>
      <w:hyperlink r:id="rId11">
        <w:r w:rsidR="42E0F53F" w:rsidRPr="3537FB59">
          <w:rPr>
            <w:rStyle w:val="Hyperlink"/>
            <w:color w:val="auto"/>
          </w:rPr>
          <w:t>mostradeestagios.uv@ies.unespar.edu.br</w:t>
        </w:r>
      </w:hyperlink>
      <w:r w:rsidR="39A81717" w:rsidRPr="3537FB59">
        <w:t xml:space="preserve"> . </w:t>
      </w:r>
      <w:r w:rsidRPr="3537FB59">
        <w:t>Para submeter o resumo você precisa preencher o formulário disponível em:</w:t>
      </w:r>
      <w:r w:rsidR="274A7699" w:rsidRPr="3537FB59">
        <w:t xml:space="preserve"> </w:t>
      </w:r>
      <w:hyperlink r:id="rId12">
        <w:r w:rsidR="5AD50557" w:rsidRPr="3537FB59">
          <w:rPr>
            <w:rStyle w:val="Hyperlink"/>
            <w:color w:val="auto"/>
          </w:rPr>
          <w:t>https://forms.gle/RtCnupDvMc3M7Fy8A</w:t>
        </w:r>
      </w:hyperlink>
    </w:p>
    <w:p w14:paraId="79E3471E" w14:textId="10B2076C" w:rsidR="43FDB678" w:rsidRDefault="43FDB678" w:rsidP="3537FB59">
      <w:pPr>
        <w:spacing w:before="20" w:line="264" w:lineRule="auto"/>
        <w:ind w:right="20" w:firstLine="740"/>
      </w:pPr>
      <w:r w:rsidRPr="3537FB59">
        <w:t>Dados necessários para o formulário:</w:t>
      </w:r>
      <w:r w:rsidR="274A7699" w:rsidRPr="3537FB59">
        <w:t xml:space="preserve"> Nome completo, E-mail e CPF </w:t>
      </w:r>
      <w:r w:rsidR="0B509876" w:rsidRPr="3537FB59">
        <w:t xml:space="preserve">de todos os autores do resumo </w:t>
      </w:r>
      <w:r w:rsidR="274A7699" w:rsidRPr="3537FB59">
        <w:t>(para fins de certificação)</w:t>
      </w:r>
      <w:r w:rsidR="624A5284" w:rsidRPr="3537FB59">
        <w:t xml:space="preserve"> </w:t>
      </w:r>
      <w:r w:rsidR="4A21CC7D" w:rsidRPr="3537FB59">
        <w:t>inclusive os dados do orientador</w:t>
      </w:r>
      <w:r w:rsidR="274A7699" w:rsidRPr="3537FB59">
        <w:t xml:space="preserve">. </w:t>
      </w:r>
      <w:r w:rsidR="5649B7B4" w:rsidRPr="3537FB59">
        <w:t xml:space="preserve">O primeiro autor será responsável pela inscrição do trabalho. </w:t>
      </w:r>
    </w:p>
    <w:p w14:paraId="49F98DEF" w14:textId="30033B32" w:rsidR="3537FB59" w:rsidRDefault="3537FB59" w:rsidP="3537FB59">
      <w:pPr>
        <w:spacing w:before="20" w:line="264" w:lineRule="auto"/>
        <w:ind w:right="20" w:firstLine="740"/>
      </w:pPr>
    </w:p>
    <w:p w14:paraId="120B494D" w14:textId="170207A1" w:rsidR="5D93A31A" w:rsidRDefault="5D93A31A" w:rsidP="3537FB59">
      <w:pPr>
        <w:spacing w:before="20" w:line="264" w:lineRule="auto"/>
        <w:ind w:right="20" w:firstLine="740"/>
      </w:pPr>
      <w:r w:rsidRPr="3537FB59">
        <w:t xml:space="preserve">Importante: Os resumos devem ser enviados após a correção e aprovação do orientador. </w:t>
      </w:r>
    </w:p>
    <w:p w14:paraId="763F5612" w14:textId="250A8946" w:rsidR="3537FB59" w:rsidRDefault="3537FB59" w:rsidP="3537FB59">
      <w:pPr>
        <w:spacing w:before="20" w:line="264" w:lineRule="auto"/>
        <w:ind w:right="20" w:firstLine="740"/>
      </w:pPr>
    </w:p>
    <w:p w14:paraId="415CAC63" w14:textId="121F399C" w:rsidR="060E901B" w:rsidRDefault="060E901B" w:rsidP="3537FB59">
      <w:pPr>
        <w:spacing w:before="20" w:line="264" w:lineRule="auto"/>
        <w:ind w:right="20" w:firstLine="740"/>
      </w:pPr>
      <w:r w:rsidRPr="3537FB59">
        <w:t xml:space="preserve">Para a apresentação, cada apresentador terá até 10 minutos para falar sobre sua experiência, </w:t>
      </w:r>
      <w:r w:rsidR="1284E13E" w:rsidRPr="3537FB59">
        <w:t>pode</w:t>
      </w:r>
      <w:r w:rsidRPr="3537FB59">
        <w:t>ndo</w:t>
      </w:r>
      <w:r w:rsidR="1284E13E" w:rsidRPr="3537FB59">
        <w:t xml:space="preserve"> utilizar</w:t>
      </w:r>
      <w:r w:rsidRPr="3537FB59">
        <w:t xml:space="preserve"> como suporte um banner digital, cujo modelo está disponível no site do evento. O banner é de apenas um slide, e deve ser levado pelo apresentador em um dispositivo externo, com um pen drive, caso o acesso ao e-mail não seja possível no momento da apresentação. Também é recomendado que os apresentadores cheguem com antecedência para que o material da apresentação seja disponibilizado ao monitor da sala antes de começar as apresentações para que seja colocado no computador disponibilizado.</w:t>
      </w:r>
      <w:r w:rsidR="072FCCA2" w:rsidRPr="3537FB59">
        <w:t xml:space="preserve"> Não serão permitidos outros formatos de slides. Caso não queiram utilizar o banner, poderá apenas realizar a apresentação oral. </w:t>
      </w:r>
    </w:p>
    <w:p w14:paraId="2798075B" w14:textId="3A616BA9" w:rsidR="060E901B" w:rsidRDefault="060E901B" w:rsidP="3537FB59">
      <w:pPr>
        <w:spacing w:before="20" w:line="264" w:lineRule="auto"/>
        <w:ind w:right="20" w:firstLine="720"/>
      </w:pPr>
      <w:r w:rsidRPr="3537FB59">
        <w:t>A comissão organizadora da 3ª Mostra de Estágio Curricular e Práticas Formativas deseja a todos que os dias do evento sejam uma oportunidade de troca de experiência e aprimoramento profissional. Que todos possam vislumbrar e vivenciar mais uma ação do campus de União da Vitória que privilegia o coletivo como espaço de formação inicial e continuada.</w:t>
      </w:r>
    </w:p>
    <w:p w14:paraId="718847E6" w14:textId="1F693721" w:rsidR="060E901B" w:rsidRDefault="060E901B" w:rsidP="3537FB59">
      <w:pPr>
        <w:spacing w:before="20" w:line="264" w:lineRule="auto"/>
        <w:ind w:right="20" w:firstLine="720"/>
        <w:jc w:val="left"/>
      </w:pPr>
      <w:r w:rsidRPr="3537FB59">
        <w:t xml:space="preserve"> </w:t>
      </w:r>
    </w:p>
    <w:p w14:paraId="72B3E369" w14:textId="77777777" w:rsidR="00EC1BAB" w:rsidRDefault="00EC1BAB" w:rsidP="00195E2E">
      <w:pPr>
        <w:spacing w:line="240" w:lineRule="auto"/>
        <w:jc w:val="left"/>
        <w:rPr>
          <w:highlight w:val="white"/>
        </w:rPr>
      </w:pPr>
    </w:p>
    <w:p w14:paraId="642D3497" w14:textId="77777777" w:rsidR="00EC1BAB" w:rsidRPr="00EC1BAB" w:rsidRDefault="00EC1BAB" w:rsidP="00EC1BAB">
      <w:pPr>
        <w:spacing w:before="20" w:line="264" w:lineRule="auto"/>
        <w:ind w:right="20" w:firstLine="720"/>
        <w:jc w:val="center"/>
        <w:rPr>
          <w:b/>
          <w:bCs/>
          <w:highlight w:val="white"/>
        </w:rPr>
      </w:pPr>
      <w:r w:rsidRPr="3537FB59">
        <w:rPr>
          <w:b/>
          <w:bCs/>
          <w:highlight w:val="white"/>
        </w:rPr>
        <w:t>Cronograma – 3ª Mostra de Estágio Curricular e Práticas Formativas</w:t>
      </w:r>
    </w:p>
    <w:p w14:paraId="7D78444C" w14:textId="1EE22CC1" w:rsidR="3537FB59" w:rsidRDefault="3537FB59" w:rsidP="3537FB59">
      <w:pPr>
        <w:spacing w:before="20" w:line="264" w:lineRule="auto"/>
        <w:ind w:right="20" w:firstLine="720"/>
        <w:jc w:val="center"/>
        <w:rPr>
          <w:b/>
          <w:bCs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EC1BAB" w14:paraId="56FD0622" w14:textId="77777777" w:rsidTr="3537FB59">
        <w:tc>
          <w:tcPr>
            <w:tcW w:w="5380" w:type="dxa"/>
          </w:tcPr>
          <w:p w14:paraId="354765E3" w14:textId="77777777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Período para Submissões</w:t>
            </w:r>
          </w:p>
        </w:tc>
        <w:tc>
          <w:tcPr>
            <w:tcW w:w="5381" w:type="dxa"/>
          </w:tcPr>
          <w:p w14:paraId="0F1C97ED" w14:textId="77777777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01/09 até 30/09</w:t>
            </w:r>
          </w:p>
        </w:tc>
      </w:tr>
      <w:tr w:rsidR="00EC1BAB" w14:paraId="448BAEF6" w14:textId="77777777" w:rsidTr="3537FB59">
        <w:tc>
          <w:tcPr>
            <w:tcW w:w="5380" w:type="dxa"/>
          </w:tcPr>
          <w:p w14:paraId="0EFDF676" w14:textId="15CAED29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Organização das avaliações </w:t>
            </w:r>
          </w:p>
        </w:tc>
        <w:tc>
          <w:tcPr>
            <w:tcW w:w="5381" w:type="dxa"/>
          </w:tcPr>
          <w:p w14:paraId="3FE4B8A0" w14:textId="77777777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Até 13/10</w:t>
            </w:r>
          </w:p>
        </w:tc>
      </w:tr>
      <w:tr w:rsidR="00EC1BAB" w14:paraId="1FC2178A" w14:textId="77777777" w:rsidTr="3537FB59">
        <w:tc>
          <w:tcPr>
            <w:tcW w:w="5380" w:type="dxa"/>
          </w:tcPr>
          <w:p w14:paraId="3DC3EF3B" w14:textId="23E77564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Período para avaliação </w:t>
            </w:r>
          </w:p>
        </w:tc>
        <w:tc>
          <w:tcPr>
            <w:tcW w:w="5381" w:type="dxa"/>
          </w:tcPr>
          <w:p w14:paraId="20BD7870" w14:textId="77777777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13/10 até 27/10</w:t>
            </w:r>
          </w:p>
        </w:tc>
      </w:tr>
      <w:tr w:rsidR="00EC1BAB" w14:paraId="3FC089B2" w14:textId="77777777" w:rsidTr="3537FB59">
        <w:tc>
          <w:tcPr>
            <w:tcW w:w="5380" w:type="dxa"/>
          </w:tcPr>
          <w:p w14:paraId="740DBB1B" w14:textId="4D54406B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Devolutiva para autores</w:t>
            </w:r>
          </w:p>
        </w:tc>
        <w:tc>
          <w:tcPr>
            <w:tcW w:w="5381" w:type="dxa"/>
          </w:tcPr>
          <w:p w14:paraId="4DD000EE" w14:textId="78CFEE97" w:rsidR="00EC1BAB" w:rsidRDefault="00EC1BAB" w:rsidP="00A87D5E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 partir de 28/10</w:t>
            </w:r>
          </w:p>
        </w:tc>
      </w:tr>
      <w:tr w:rsidR="00EC1BAB" w14:paraId="5800593E" w14:textId="77777777" w:rsidTr="3537FB59">
        <w:tc>
          <w:tcPr>
            <w:tcW w:w="5380" w:type="dxa"/>
          </w:tcPr>
          <w:p w14:paraId="1DB3E692" w14:textId="46727846" w:rsidR="00EC1BAB" w:rsidRDefault="00EC1BAB" w:rsidP="00EC1BAB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Organização das salas, mediações</w:t>
            </w:r>
          </w:p>
        </w:tc>
        <w:tc>
          <w:tcPr>
            <w:tcW w:w="5381" w:type="dxa"/>
          </w:tcPr>
          <w:p w14:paraId="19A131CE" w14:textId="307CE47B" w:rsidR="00EC1BAB" w:rsidRDefault="00EC1BAB" w:rsidP="00EC1BAB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 partir de 28/10</w:t>
            </w:r>
          </w:p>
        </w:tc>
      </w:tr>
      <w:tr w:rsidR="00EC1BAB" w14:paraId="1F2B24EE" w14:textId="77777777" w:rsidTr="3537FB59">
        <w:tc>
          <w:tcPr>
            <w:tcW w:w="5380" w:type="dxa"/>
          </w:tcPr>
          <w:p w14:paraId="4BCDBF53" w14:textId="3BA6B3E5" w:rsidR="00EC1BAB" w:rsidRDefault="00EC1BAB" w:rsidP="00EC1BAB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3ª Mostra de Estágio Curricular e Práticas Formativas</w:t>
            </w:r>
          </w:p>
        </w:tc>
        <w:tc>
          <w:tcPr>
            <w:tcW w:w="5381" w:type="dxa"/>
          </w:tcPr>
          <w:p w14:paraId="2F31A8F2" w14:textId="1591E23A" w:rsidR="00EC1BAB" w:rsidRDefault="00EC1BAB" w:rsidP="00EC1BAB">
            <w:pPr>
              <w:spacing w:before="20" w:line="264" w:lineRule="auto"/>
              <w:ind w:right="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10/11 a 12/11*</w:t>
            </w:r>
          </w:p>
        </w:tc>
      </w:tr>
    </w:tbl>
    <w:p w14:paraId="727A982F" w14:textId="77777777" w:rsidR="00EC1BAB" w:rsidRDefault="00EC1BAB" w:rsidP="00195E2E">
      <w:pPr>
        <w:spacing w:line="240" w:lineRule="auto"/>
        <w:jc w:val="left"/>
        <w:rPr>
          <w:highlight w:val="white"/>
        </w:rPr>
      </w:pPr>
    </w:p>
    <w:p w14:paraId="2346066B" w14:textId="34543E0F" w:rsidR="00C8665B" w:rsidRPr="00EC1BAB" w:rsidRDefault="00EC1BAB" w:rsidP="00EC1BAB">
      <w:pPr>
        <w:pStyle w:val="PargrafodaLista"/>
        <w:widowControl w:val="0"/>
        <w:numPr>
          <w:ilvl w:val="0"/>
          <w:numId w:val="2"/>
        </w:numPr>
        <w:spacing w:line="240" w:lineRule="auto"/>
        <w:jc w:val="left"/>
        <w:rPr>
          <w:bCs/>
        </w:rPr>
      </w:pPr>
      <w:r w:rsidRPr="00EC1BAB">
        <w:rPr>
          <w:b/>
        </w:rPr>
        <w:t>10/11</w:t>
      </w:r>
      <w:r w:rsidRPr="00EC1BAB">
        <w:rPr>
          <w:bCs/>
        </w:rPr>
        <w:t xml:space="preserve"> – Mesa de Abertura: Prof. Wanda Pacheco</w:t>
      </w:r>
      <w:r>
        <w:rPr>
          <w:bCs/>
        </w:rPr>
        <w:t xml:space="preserve"> dos Santos</w:t>
      </w:r>
      <w:r w:rsidRPr="00EC1BAB">
        <w:rPr>
          <w:bCs/>
        </w:rPr>
        <w:t>;</w:t>
      </w:r>
    </w:p>
    <w:p w14:paraId="46DEC21B" w14:textId="5559EAE4" w:rsidR="00EC1BAB" w:rsidRPr="00EC1BAB" w:rsidRDefault="00EC1BAB" w:rsidP="00EC1BAB">
      <w:pPr>
        <w:pStyle w:val="PargrafodaLista"/>
        <w:widowControl w:val="0"/>
        <w:numPr>
          <w:ilvl w:val="0"/>
          <w:numId w:val="2"/>
        </w:numPr>
        <w:spacing w:line="240" w:lineRule="auto"/>
        <w:jc w:val="left"/>
        <w:rPr>
          <w:bCs/>
        </w:rPr>
      </w:pPr>
      <w:r w:rsidRPr="00EC1BAB">
        <w:rPr>
          <w:b/>
        </w:rPr>
        <w:t>11/11</w:t>
      </w:r>
      <w:r w:rsidRPr="00EC1BAB">
        <w:rPr>
          <w:bCs/>
        </w:rPr>
        <w:t xml:space="preserve"> – Apresentações de trabalhos (Manhã e Noite);</w:t>
      </w:r>
    </w:p>
    <w:p w14:paraId="70D1A3EE" w14:textId="0189FAC2" w:rsidR="00EC1BAB" w:rsidRPr="00EC1BAB" w:rsidRDefault="00EC1BAB" w:rsidP="00EC1BAB">
      <w:pPr>
        <w:pStyle w:val="PargrafodaLista"/>
        <w:widowControl w:val="0"/>
        <w:numPr>
          <w:ilvl w:val="0"/>
          <w:numId w:val="2"/>
        </w:numPr>
        <w:spacing w:line="240" w:lineRule="auto"/>
        <w:jc w:val="left"/>
        <w:rPr>
          <w:bCs/>
        </w:rPr>
      </w:pPr>
      <w:r w:rsidRPr="00EC1BAB">
        <w:rPr>
          <w:b/>
        </w:rPr>
        <w:t>12/11</w:t>
      </w:r>
      <w:r w:rsidRPr="00EC1BAB">
        <w:rPr>
          <w:bCs/>
        </w:rPr>
        <w:t xml:space="preserve"> – Mostra de Materiais Pedagógicos (20h às 21h15min). </w:t>
      </w:r>
    </w:p>
    <w:p w14:paraId="06F58EE4" w14:textId="77777777" w:rsidR="00EC1BAB" w:rsidRPr="00EC1BAB" w:rsidRDefault="00EC1BAB" w:rsidP="00195E2E">
      <w:pPr>
        <w:widowControl w:val="0"/>
        <w:spacing w:line="240" w:lineRule="auto"/>
        <w:ind w:left="2"/>
        <w:jc w:val="left"/>
        <w:rPr>
          <w:bCs/>
        </w:rPr>
      </w:pPr>
    </w:p>
    <w:sectPr w:rsidR="00EC1BAB" w:rsidRPr="00EC1BAB">
      <w:headerReference w:type="default" r:id="rId13"/>
      <w:footerReference w:type="default" r:id="rId14"/>
      <w:pgSz w:w="11906" w:h="16838"/>
      <w:pgMar w:top="1133" w:right="566" w:bottom="1133" w:left="566" w:header="153" w:footer="0" w:gutter="0"/>
      <w:pgNumType w:start="1"/>
      <w:cols w:space="720" w:equalWidth="0">
        <w:col w:w="107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0CB2" w14:textId="77777777" w:rsidR="005378AD" w:rsidRDefault="005378AD">
      <w:pPr>
        <w:spacing w:line="240" w:lineRule="auto"/>
      </w:pPr>
      <w:r>
        <w:separator/>
      </w:r>
    </w:p>
  </w:endnote>
  <w:endnote w:type="continuationSeparator" w:id="0">
    <w:p w14:paraId="0655EB7A" w14:textId="77777777" w:rsidR="005378AD" w:rsidRDefault="00537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03D27397" w14:paraId="677751F2" w14:textId="77777777" w:rsidTr="03D27397">
      <w:trPr>
        <w:trHeight w:val="300"/>
      </w:trPr>
      <w:tc>
        <w:tcPr>
          <w:tcW w:w="3590" w:type="dxa"/>
        </w:tcPr>
        <w:p w14:paraId="7227254D" w14:textId="32980150" w:rsidR="03D27397" w:rsidRDefault="03D27397" w:rsidP="03D27397">
          <w:pPr>
            <w:pStyle w:val="Cabealho"/>
            <w:ind w:left="-115"/>
            <w:jc w:val="left"/>
          </w:pPr>
        </w:p>
      </w:tc>
      <w:tc>
        <w:tcPr>
          <w:tcW w:w="3590" w:type="dxa"/>
        </w:tcPr>
        <w:p w14:paraId="23449497" w14:textId="1D2DFFA3" w:rsidR="03D27397" w:rsidRDefault="03D27397" w:rsidP="03D27397">
          <w:pPr>
            <w:pStyle w:val="Cabealho"/>
            <w:jc w:val="center"/>
          </w:pPr>
        </w:p>
      </w:tc>
      <w:tc>
        <w:tcPr>
          <w:tcW w:w="3590" w:type="dxa"/>
        </w:tcPr>
        <w:p w14:paraId="757AA942" w14:textId="486896E8" w:rsidR="03D27397" w:rsidRDefault="03D27397" w:rsidP="03D27397">
          <w:pPr>
            <w:pStyle w:val="Cabealho"/>
            <w:ind w:right="-115"/>
            <w:jc w:val="right"/>
          </w:pPr>
        </w:p>
      </w:tc>
    </w:tr>
  </w:tbl>
  <w:p w14:paraId="7A698CFC" w14:textId="4E30D8F0" w:rsidR="03D27397" w:rsidRDefault="03D27397" w:rsidP="03D273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98FF" w14:textId="77777777" w:rsidR="005378AD" w:rsidRDefault="005378AD">
      <w:pPr>
        <w:spacing w:line="240" w:lineRule="auto"/>
      </w:pPr>
      <w:r>
        <w:separator/>
      </w:r>
    </w:p>
  </w:footnote>
  <w:footnote w:type="continuationSeparator" w:id="0">
    <w:p w14:paraId="1CBF3383" w14:textId="77777777" w:rsidR="005378AD" w:rsidRDefault="00537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7163" w14:textId="356A6FB9" w:rsidR="00C8665B" w:rsidRPr="005A7FBC" w:rsidRDefault="3537FB59" w:rsidP="4D0E9C6C">
    <w:r>
      <w:rPr>
        <w:noProof/>
      </w:rPr>
      <w:drawing>
        <wp:inline distT="0" distB="0" distL="0" distR="0" wp14:anchorId="79E6E3C5" wp14:editId="45846D7F">
          <wp:extent cx="6802476" cy="1702985"/>
          <wp:effectExtent l="0" t="0" r="0" b="0"/>
          <wp:docPr id="119942045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204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476" cy="17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78EB"/>
    <w:multiLevelType w:val="hybridMultilevel"/>
    <w:tmpl w:val="B21C619C"/>
    <w:lvl w:ilvl="0" w:tplc="388E2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80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8D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A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8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43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0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6A57"/>
    <w:multiLevelType w:val="hybridMultilevel"/>
    <w:tmpl w:val="53BE23BA"/>
    <w:lvl w:ilvl="0" w:tplc="7EDC524A">
      <w:start w:val="5"/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385034251">
    <w:abstractNumId w:val="0"/>
  </w:num>
  <w:num w:numId="2" w16cid:durableId="35075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5B"/>
    <w:rsid w:val="000B1AB9"/>
    <w:rsid w:val="00187DAC"/>
    <w:rsid w:val="00195E2E"/>
    <w:rsid w:val="00196B3F"/>
    <w:rsid w:val="002677B8"/>
    <w:rsid w:val="00317EC6"/>
    <w:rsid w:val="003760B0"/>
    <w:rsid w:val="003D3A6E"/>
    <w:rsid w:val="0045775A"/>
    <w:rsid w:val="004C67ED"/>
    <w:rsid w:val="005378AD"/>
    <w:rsid w:val="005A7FBC"/>
    <w:rsid w:val="00615003"/>
    <w:rsid w:val="00734075"/>
    <w:rsid w:val="007E4586"/>
    <w:rsid w:val="008339A1"/>
    <w:rsid w:val="008630A4"/>
    <w:rsid w:val="008E3A3A"/>
    <w:rsid w:val="00900DA8"/>
    <w:rsid w:val="00A37F23"/>
    <w:rsid w:val="00A63E77"/>
    <w:rsid w:val="00A91251"/>
    <w:rsid w:val="00B13F25"/>
    <w:rsid w:val="00C8665B"/>
    <w:rsid w:val="00EC1BAB"/>
    <w:rsid w:val="00F57C52"/>
    <w:rsid w:val="00FA0A4F"/>
    <w:rsid w:val="00FC1314"/>
    <w:rsid w:val="00FE6737"/>
    <w:rsid w:val="021BD684"/>
    <w:rsid w:val="037D74A3"/>
    <w:rsid w:val="03D27397"/>
    <w:rsid w:val="060E901B"/>
    <w:rsid w:val="072FCCA2"/>
    <w:rsid w:val="09BA9762"/>
    <w:rsid w:val="0A3D91D7"/>
    <w:rsid w:val="0B509876"/>
    <w:rsid w:val="0F728408"/>
    <w:rsid w:val="0F93AA06"/>
    <w:rsid w:val="1284E13E"/>
    <w:rsid w:val="17E92098"/>
    <w:rsid w:val="1811FB5F"/>
    <w:rsid w:val="19B1BDC4"/>
    <w:rsid w:val="1B0E7B46"/>
    <w:rsid w:val="1B2209F5"/>
    <w:rsid w:val="1B55D691"/>
    <w:rsid w:val="1BF3DAA0"/>
    <w:rsid w:val="21595B69"/>
    <w:rsid w:val="249082AF"/>
    <w:rsid w:val="24C23924"/>
    <w:rsid w:val="274A7699"/>
    <w:rsid w:val="275727BB"/>
    <w:rsid w:val="284F1A4F"/>
    <w:rsid w:val="294E2D5A"/>
    <w:rsid w:val="2B5D8904"/>
    <w:rsid w:val="2C1D91CA"/>
    <w:rsid w:val="3537FB59"/>
    <w:rsid w:val="3549B60D"/>
    <w:rsid w:val="3746A6AE"/>
    <w:rsid w:val="39A81717"/>
    <w:rsid w:val="3AE37010"/>
    <w:rsid w:val="40F38E33"/>
    <w:rsid w:val="42E0F53F"/>
    <w:rsid w:val="43FDB678"/>
    <w:rsid w:val="46F49A6A"/>
    <w:rsid w:val="485EF949"/>
    <w:rsid w:val="4A21CC7D"/>
    <w:rsid w:val="4A2E490E"/>
    <w:rsid w:val="4C629B54"/>
    <w:rsid w:val="4D0E9C6C"/>
    <w:rsid w:val="52F8AB1D"/>
    <w:rsid w:val="5649B7B4"/>
    <w:rsid w:val="5AD50557"/>
    <w:rsid w:val="5CFA5863"/>
    <w:rsid w:val="5D93A31A"/>
    <w:rsid w:val="5DC8355C"/>
    <w:rsid w:val="5EB5A340"/>
    <w:rsid w:val="624A5284"/>
    <w:rsid w:val="68D15F52"/>
    <w:rsid w:val="6AD24315"/>
    <w:rsid w:val="6AEEFC68"/>
    <w:rsid w:val="71039E83"/>
    <w:rsid w:val="76A63CDF"/>
    <w:rsid w:val="7C1B10F8"/>
    <w:rsid w:val="7F0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C8AA5"/>
  <w15:docId w15:val="{BE6BB4C2-12E6-4011-ACE4-7DBCA29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45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586"/>
  </w:style>
  <w:style w:type="paragraph" w:styleId="Rodap">
    <w:name w:val="footer"/>
    <w:basedOn w:val="Normal"/>
    <w:link w:val="RodapChar"/>
    <w:uiPriority w:val="99"/>
    <w:unhideWhenUsed/>
    <w:rsid w:val="007E45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58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6B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B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6B3F"/>
    <w:rPr>
      <w:vertAlign w:val="superscript"/>
    </w:rPr>
  </w:style>
  <w:style w:type="table" w:styleId="Tabelacomgrade">
    <w:name w:val="Table Grid"/>
    <w:basedOn w:val="Tabelanormal"/>
    <w:uiPriority w:val="39"/>
    <w:rsid w:val="00EC1B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1B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3537F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RtCnupDvMc3M7Fy8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stradeestagios.uv@ies.unespar.edu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027A6FA68BC247BC51A88AFB32E587" ma:contentTypeVersion="3" ma:contentTypeDescription="Crie um novo documento." ma:contentTypeScope="" ma:versionID="911c107aa2b04d9eeb14cd6bfb5d4d95">
  <xsd:schema xmlns:xsd="http://www.w3.org/2001/XMLSchema" xmlns:xs="http://www.w3.org/2001/XMLSchema" xmlns:p="http://schemas.microsoft.com/office/2006/metadata/properties" xmlns:ns2="20165945-64a4-44e9-a1c6-51babdb14fe0" targetNamespace="http://schemas.microsoft.com/office/2006/metadata/properties" ma:root="true" ma:fieldsID="6495f94f53c0a668ba83d6d754d6d844" ns2:_="">
    <xsd:import namespace="20165945-64a4-44e9-a1c6-51babdb14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5945-64a4-44e9-a1c6-51babdb14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936C8-10D8-4B77-A7D3-0BECD6D3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D2220-3279-45F4-869E-1EA9C8D48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BBDB-A133-4D2C-B3CC-4A1D75311D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2E80F-30DD-464B-BAD0-D439FB72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65945-64a4-44e9-a1c6-51babdb14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Gilberto Santos</cp:lastModifiedBy>
  <cp:revision>2</cp:revision>
  <cp:lastPrinted>2025-08-19T13:10:00Z</cp:lastPrinted>
  <dcterms:created xsi:type="dcterms:W3CDTF">2025-08-28T18:50:00Z</dcterms:created>
  <dcterms:modified xsi:type="dcterms:W3CDTF">2025-08-28T18:50:00Z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a25d1147-d591-4559-aff2-90f61da3f5c2</vt:lpwstr>
  </property>
  <property fmtid="{D5CDD505-2E9C-101B-9397-08002B2CF9AE}" pid="3" name="ContentTypeId">
    <vt:lpwstr>0x010100F4027A6FA68BC247BC51A88AFB32E587</vt:lpwstr>
  </property>
</Properties>
</file>